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95643" w14:textId="77777777" w:rsidR="00F40EBF" w:rsidRDefault="00F40EBF" w:rsidP="00F40EBF">
      <w:pPr>
        <w:pStyle w:val="Default"/>
        <w:spacing w:line="360" w:lineRule="auto"/>
        <w:ind w:firstLineChars="200" w:firstLine="560"/>
        <w:jc w:val="both"/>
        <w:rPr>
          <w:rFonts w:ascii="仿宋" w:eastAsia="仿宋" w:hAnsi="仿宋" w:cs="仿宋"/>
          <w:color w:val="auto"/>
          <w:sz w:val="28"/>
          <w:szCs w:val="28"/>
        </w:rPr>
      </w:pPr>
      <w:r>
        <w:rPr>
          <w:rFonts w:ascii="仿宋" w:eastAsia="仿宋" w:hAnsi="仿宋" w:cs="仿宋" w:hint="eastAsia"/>
          <w:color w:val="auto"/>
          <w:sz w:val="28"/>
          <w:szCs w:val="28"/>
        </w:rPr>
        <w:t>附件1:</w:t>
      </w:r>
    </w:p>
    <w:p w14:paraId="3FEF43D3" w14:textId="77777777" w:rsidR="00F40EBF" w:rsidRDefault="00F40EBF" w:rsidP="00F40EBF">
      <w:pPr>
        <w:pStyle w:val="Default"/>
        <w:spacing w:line="360" w:lineRule="auto"/>
        <w:ind w:firstLineChars="200" w:firstLine="562"/>
        <w:jc w:val="center"/>
        <w:rPr>
          <w:rFonts w:ascii="仿宋" w:eastAsia="仿宋" w:hAnsi="仿宋" w:cs="黑体" w:hint="eastAsia"/>
          <w:b/>
          <w:bCs/>
          <w:color w:val="auto"/>
          <w:sz w:val="28"/>
          <w:szCs w:val="28"/>
        </w:rPr>
      </w:pPr>
      <w:r>
        <w:rPr>
          <w:rFonts w:ascii="仿宋" w:eastAsia="仿宋" w:hAnsi="仿宋" w:cs="黑体" w:hint="eastAsia"/>
          <w:b/>
          <w:bCs/>
          <w:color w:val="auto"/>
          <w:sz w:val="28"/>
          <w:szCs w:val="28"/>
        </w:rPr>
        <w:t>银行优质客户管理相关要求</w:t>
      </w:r>
    </w:p>
    <w:p w14:paraId="5909CD64"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银行应制</w:t>
      </w:r>
      <w:proofErr w:type="gramStart"/>
      <w:r>
        <w:rPr>
          <w:rFonts w:ascii="仿宋" w:eastAsia="仿宋" w:hAnsi="仿宋" w:cs="仿宋" w:hint="eastAsia"/>
          <w:color w:val="auto"/>
          <w:sz w:val="28"/>
          <w:szCs w:val="28"/>
        </w:rPr>
        <w:t>定内部</w:t>
      </w:r>
      <w:proofErr w:type="gramEnd"/>
      <w:r>
        <w:rPr>
          <w:rFonts w:ascii="仿宋" w:eastAsia="仿宋" w:hAnsi="仿宋" w:cs="仿宋" w:hint="eastAsia"/>
          <w:color w:val="auto"/>
          <w:sz w:val="28"/>
          <w:szCs w:val="28"/>
        </w:rPr>
        <w:t>有关优质客户的管理办法，包括但不限于准入标准、动态调整以及定期向自律机制报告等内容。</w:t>
      </w:r>
    </w:p>
    <w:p w14:paraId="68196A10" w14:textId="77777777" w:rsidR="00F40EBF" w:rsidRDefault="00F40EBF" w:rsidP="00F40EBF">
      <w:pPr>
        <w:pStyle w:val="Default"/>
        <w:spacing w:line="360" w:lineRule="auto"/>
        <w:ind w:firstLineChars="200" w:firstLine="562"/>
        <w:jc w:val="both"/>
        <w:rPr>
          <w:rFonts w:ascii="仿宋" w:eastAsia="仿宋" w:hAnsi="仿宋" w:cs="仿宋" w:hint="eastAsia"/>
          <w:b/>
          <w:bCs/>
          <w:color w:val="auto"/>
          <w:sz w:val="28"/>
          <w:szCs w:val="28"/>
        </w:rPr>
      </w:pPr>
      <w:r>
        <w:rPr>
          <w:rFonts w:ascii="仿宋" w:eastAsia="仿宋" w:hAnsi="仿宋" w:cs="仿宋" w:hint="eastAsia"/>
          <w:b/>
          <w:bCs/>
          <w:color w:val="auto"/>
          <w:sz w:val="28"/>
          <w:szCs w:val="28"/>
        </w:rPr>
        <w:t>一、准入标准</w:t>
      </w:r>
    </w:p>
    <w:p w14:paraId="3206E7DE"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1、FTE客户</w:t>
      </w:r>
    </w:p>
    <w:p w14:paraId="4DF9F362"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银行应以下列条件认定FTE客户：</w:t>
      </w:r>
    </w:p>
    <w:p w14:paraId="08FAD83D"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(1) 货物贸易名录内企业（仅限办理跨境货物贸易结算业务时才适用），未被纳入出口货物贸易人民币结算企业重点监管名单内，且分类考核信息为A类。</w:t>
      </w:r>
    </w:p>
    <w:p w14:paraId="1A464346"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(2)近一年内未被外汇局或其他监管部门通报的，无涉及外汇检查处罚案例信息、违法违规案例、风险提示案例、恶意规避外汇监管案例、企业信用报告存在瑕疵的及其他不良行为记录的。</w:t>
      </w:r>
    </w:p>
    <w:p w14:paraId="148FA73A"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（3）本行总、分行级重点客户及其集团内成员企业。</w:t>
      </w:r>
    </w:p>
    <w:p w14:paraId="660F2AE5"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（4）企业或其母公司（集团公司）注册成立1年（含）以上，且自身或其母公司（集团公司）在本行系统内办理跨境结算业务累计30次（含）以上。</w:t>
      </w:r>
    </w:p>
    <w:p w14:paraId="6EED7053"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（5）银行认为需要符合的其他条件（需书面说明）。</w:t>
      </w:r>
    </w:p>
    <w:p w14:paraId="25FB17E4"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原则上同时满足（1）（2）条，并且满足（3）（4）（5）条标准之一的企业可认定为FTE优质客户。跨境人民币便利化优质客户（需符合《中国（天津）自由贸易试验区分账核算业务管理实施细则（试行）》第二章第四条相关规定）可直接认定为FT优质客户，适用本操</w:t>
      </w:r>
      <w:r>
        <w:rPr>
          <w:rFonts w:ascii="仿宋" w:eastAsia="仿宋" w:hAnsi="仿宋" w:cs="仿宋" w:hint="eastAsia"/>
          <w:color w:val="auto"/>
          <w:sz w:val="28"/>
          <w:szCs w:val="28"/>
        </w:rPr>
        <w:lastRenderedPageBreak/>
        <w:t>作指引相关规定。</w:t>
      </w:r>
    </w:p>
    <w:p w14:paraId="2CD0437F"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p>
    <w:p w14:paraId="4CBA256B" w14:textId="77777777" w:rsidR="00F40EBF" w:rsidRDefault="00F40EBF" w:rsidP="00F40EBF">
      <w:pPr>
        <w:pStyle w:val="Default"/>
        <w:spacing w:line="360" w:lineRule="auto"/>
        <w:ind w:firstLineChars="200" w:firstLine="562"/>
        <w:jc w:val="both"/>
        <w:rPr>
          <w:rFonts w:ascii="仿宋" w:eastAsia="仿宋" w:hAnsi="仿宋" w:cs="仿宋" w:hint="eastAsia"/>
          <w:b/>
          <w:bCs/>
          <w:color w:val="auto"/>
          <w:sz w:val="28"/>
          <w:szCs w:val="28"/>
        </w:rPr>
      </w:pPr>
      <w:r>
        <w:rPr>
          <w:rFonts w:ascii="仿宋" w:eastAsia="仿宋" w:hAnsi="仿宋" w:cs="仿宋" w:hint="eastAsia"/>
          <w:b/>
          <w:bCs/>
          <w:color w:val="auto"/>
          <w:sz w:val="28"/>
          <w:szCs w:val="28"/>
        </w:rPr>
        <w:t>2、FTN客户</w:t>
      </w:r>
    </w:p>
    <w:p w14:paraId="1C3A6240"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银行制定的优质客户准入标准，至少应同时满足以下条件：</w:t>
      </w:r>
    </w:p>
    <w:p w14:paraId="06D7E5B4"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（1）企业注册成立1年（含）以上，合</w:t>
      </w:r>
      <w:proofErr w:type="gramStart"/>
      <w:r>
        <w:rPr>
          <w:rFonts w:ascii="仿宋" w:eastAsia="仿宋" w:hAnsi="仿宋" w:cs="仿宋" w:hint="eastAsia"/>
          <w:color w:val="auto"/>
          <w:sz w:val="28"/>
          <w:szCs w:val="28"/>
        </w:rPr>
        <w:t>规</w:t>
      </w:r>
      <w:proofErr w:type="gramEnd"/>
      <w:r>
        <w:rPr>
          <w:rFonts w:ascii="仿宋" w:eastAsia="仿宋" w:hAnsi="仿宋" w:cs="仿宋" w:hint="eastAsia"/>
          <w:color w:val="auto"/>
          <w:sz w:val="28"/>
          <w:szCs w:val="28"/>
        </w:rPr>
        <w:t>经营且经营情况稳定，近1年内无监管处罚信息。中资“走出去”企业、或“一带一路”项目相关境外企业、或近一年无监管处罚信息的集团公司纳入优质客户名单的注册年限要求可适当放宽；</w:t>
      </w:r>
    </w:p>
    <w:p w14:paraId="2393E390"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（2）企业及股东方不涉及联合国、OFAC、欧盟等组织及我国制裁名单，符合“三反”监管要求、国际惯例和各行相关规定；</w:t>
      </w:r>
    </w:p>
    <w:p w14:paraId="7B8DD57D"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（3）已开立FTN账户，并自账户开立之日起在本行系统内通过该账户办理结算业务累计30次（含）以上；</w:t>
      </w:r>
    </w:p>
    <w:p w14:paraId="0B4415DF"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（4）本行总、分行级重点客户及其集团内成员企业。</w:t>
      </w:r>
    </w:p>
    <w:p w14:paraId="4E07D06C"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（5）银行认为需要符合的其他条件（需书面说明）。</w:t>
      </w:r>
    </w:p>
    <w:p w14:paraId="1CD392DB"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原则上同时满足（1）（2）条，并且满足（3）（4）（5）条标准之一的企业可认定为FTN优质客户。</w:t>
      </w:r>
    </w:p>
    <w:p w14:paraId="7BB5AA4E" w14:textId="77777777" w:rsidR="00F40EBF" w:rsidRDefault="00F40EBF" w:rsidP="00F40EBF">
      <w:pPr>
        <w:pStyle w:val="Default"/>
        <w:spacing w:line="360" w:lineRule="auto"/>
        <w:ind w:firstLineChars="200" w:firstLine="562"/>
        <w:jc w:val="both"/>
        <w:rPr>
          <w:rFonts w:ascii="仿宋" w:eastAsia="仿宋" w:hAnsi="仿宋" w:cs="仿宋" w:hint="eastAsia"/>
          <w:b/>
          <w:bCs/>
          <w:color w:val="auto"/>
          <w:sz w:val="28"/>
          <w:szCs w:val="28"/>
        </w:rPr>
      </w:pPr>
      <w:r>
        <w:rPr>
          <w:rFonts w:ascii="仿宋" w:eastAsia="仿宋" w:hAnsi="仿宋" w:cs="仿宋" w:hint="eastAsia"/>
          <w:b/>
          <w:bCs/>
          <w:color w:val="auto"/>
          <w:sz w:val="28"/>
          <w:szCs w:val="28"/>
        </w:rPr>
        <w:t>二、动态调整</w:t>
      </w:r>
    </w:p>
    <w:p w14:paraId="03536EDF" w14:textId="77777777" w:rsidR="00F40EBF" w:rsidRDefault="00F40EBF" w:rsidP="00F40EBF">
      <w:pPr>
        <w:pStyle w:val="Default"/>
        <w:spacing w:line="360" w:lineRule="auto"/>
        <w:ind w:firstLineChars="200" w:firstLine="562"/>
        <w:jc w:val="both"/>
        <w:rPr>
          <w:rFonts w:ascii="仿宋" w:eastAsia="仿宋" w:hAnsi="仿宋" w:cs="仿宋" w:hint="eastAsia"/>
          <w:b/>
          <w:bCs/>
          <w:color w:val="auto"/>
          <w:sz w:val="28"/>
          <w:szCs w:val="28"/>
        </w:rPr>
      </w:pPr>
      <w:r>
        <w:rPr>
          <w:rFonts w:ascii="仿宋" w:eastAsia="仿宋" w:hAnsi="仿宋" w:cs="仿宋" w:hint="eastAsia"/>
          <w:b/>
          <w:bCs/>
          <w:color w:val="auto"/>
          <w:sz w:val="28"/>
          <w:szCs w:val="28"/>
        </w:rPr>
        <w:t>1、名单备查制度</w:t>
      </w:r>
    </w:p>
    <w:p w14:paraId="32D1104B"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银行应建立内部优质客户管理制度，厘定优质客户名单，并根据管理制度严格把控名单准入，根据准入和退出客户调整及时更新名单备查。确定和调整名单均需填写“FT账户优质企业调整报备模板”，于5个工作日内自律机制邮箱上报天津市银行外汇和跨境人民币自律</w:t>
      </w:r>
      <w:r>
        <w:rPr>
          <w:rFonts w:ascii="仿宋" w:eastAsia="仿宋" w:hAnsi="仿宋" w:cs="仿宋" w:hint="eastAsia"/>
          <w:color w:val="auto"/>
          <w:sz w:val="28"/>
          <w:szCs w:val="28"/>
        </w:rPr>
        <w:lastRenderedPageBreak/>
        <w:t>机制（以下简称自律机制）</w:t>
      </w:r>
      <w:r>
        <w:rPr>
          <w:rFonts w:ascii="仿宋" w:eastAsia="仿宋" w:hAnsi="仿宋" w:hint="eastAsia"/>
          <w:sz w:val="28"/>
          <w:szCs w:val="28"/>
        </w:rPr>
        <w:t>，</w:t>
      </w:r>
      <w:r>
        <w:rPr>
          <w:rFonts w:ascii="仿宋" w:eastAsia="仿宋" w:hAnsi="仿宋" w:cs="仿宋" w:hint="eastAsia"/>
          <w:color w:val="auto"/>
          <w:sz w:val="28"/>
          <w:szCs w:val="28"/>
        </w:rPr>
        <w:t>由自律机制报告中国人民银行天津分行跨境人民币业务办公室。</w:t>
      </w:r>
    </w:p>
    <w:p w14:paraId="196AD854" w14:textId="77777777" w:rsidR="00F40EBF" w:rsidRDefault="00F40EBF" w:rsidP="00F40EBF">
      <w:pPr>
        <w:pStyle w:val="Default"/>
        <w:spacing w:line="360" w:lineRule="auto"/>
        <w:ind w:firstLineChars="200" w:firstLine="562"/>
        <w:jc w:val="both"/>
        <w:rPr>
          <w:rFonts w:ascii="仿宋" w:eastAsia="仿宋" w:hAnsi="仿宋" w:cs="仿宋" w:hint="eastAsia"/>
          <w:b/>
          <w:bCs/>
          <w:color w:val="auto"/>
          <w:sz w:val="28"/>
          <w:szCs w:val="28"/>
        </w:rPr>
      </w:pPr>
      <w:r>
        <w:rPr>
          <w:rFonts w:ascii="仿宋" w:eastAsia="仿宋" w:hAnsi="仿宋" w:cs="仿宋" w:hint="eastAsia"/>
          <w:b/>
          <w:bCs/>
          <w:color w:val="auto"/>
          <w:sz w:val="28"/>
          <w:szCs w:val="28"/>
        </w:rPr>
        <w:t>2、动态监控制度</w:t>
      </w:r>
    </w:p>
    <w:p w14:paraId="32F9D925"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银行应加强对优质客户名单企业办理业务的持续跟踪和管理，实施动态监控制度，做好企业动态分类管理和事后评估工作。银行应至少每半年开展一次对客户业务的尽职调查，按比例抽查业务合</w:t>
      </w:r>
      <w:proofErr w:type="gramStart"/>
      <w:r>
        <w:rPr>
          <w:rFonts w:ascii="仿宋" w:eastAsia="仿宋" w:hAnsi="仿宋" w:cs="仿宋" w:hint="eastAsia"/>
          <w:color w:val="auto"/>
          <w:sz w:val="28"/>
          <w:szCs w:val="28"/>
        </w:rPr>
        <w:t>规</w:t>
      </w:r>
      <w:proofErr w:type="gramEnd"/>
      <w:r>
        <w:rPr>
          <w:rFonts w:ascii="仿宋" w:eastAsia="仿宋" w:hAnsi="仿宋" w:cs="仿宋" w:hint="eastAsia"/>
          <w:color w:val="auto"/>
          <w:sz w:val="28"/>
          <w:szCs w:val="28"/>
        </w:rPr>
        <w:t>情况。其中被抽查客户不得低于优质客户名单总量的10%（含），单个客户被抽查业务笔数不得低于该客户在该行以简化流程办理业务笔数的前10%（含）的大额业务。</w:t>
      </w:r>
    </w:p>
    <w:p w14:paraId="360C36FC" w14:textId="77777777" w:rsidR="00F40EBF" w:rsidRDefault="00F40EBF" w:rsidP="00F40EBF">
      <w:pPr>
        <w:pStyle w:val="Default"/>
        <w:spacing w:line="360" w:lineRule="auto"/>
        <w:ind w:firstLineChars="200" w:firstLine="562"/>
        <w:jc w:val="both"/>
        <w:rPr>
          <w:rFonts w:ascii="仿宋" w:eastAsia="仿宋" w:hAnsi="仿宋" w:cs="仿宋" w:hint="eastAsia"/>
          <w:b/>
          <w:bCs/>
          <w:color w:val="auto"/>
          <w:sz w:val="28"/>
          <w:szCs w:val="28"/>
        </w:rPr>
      </w:pPr>
      <w:r>
        <w:rPr>
          <w:rFonts w:ascii="仿宋" w:eastAsia="仿宋" w:hAnsi="仿宋" w:cs="仿宋" w:hint="eastAsia"/>
          <w:b/>
          <w:bCs/>
          <w:color w:val="auto"/>
          <w:sz w:val="28"/>
          <w:szCs w:val="28"/>
        </w:rPr>
        <w:t>3、优质客户名单调整</w:t>
      </w:r>
    </w:p>
    <w:p w14:paraId="0DA63386" w14:textId="77777777" w:rsidR="00F40EBF" w:rsidRDefault="00F40EBF" w:rsidP="00F40EBF">
      <w:pPr>
        <w:pStyle w:val="Default"/>
        <w:spacing w:line="360" w:lineRule="auto"/>
        <w:ind w:firstLineChars="200" w:firstLine="560"/>
        <w:jc w:val="both"/>
        <w:rPr>
          <w:rFonts w:ascii="仿宋" w:eastAsia="仿宋" w:hAnsi="仿宋" w:cs="Times New Roman" w:hint="eastAsia"/>
          <w:color w:val="auto"/>
          <w:sz w:val="28"/>
          <w:szCs w:val="28"/>
        </w:rPr>
      </w:pPr>
      <w:r>
        <w:rPr>
          <w:rFonts w:ascii="仿宋" w:eastAsia="仿宋" w:hAnsi="仿宋" w:cs="仿宋" w:hint="eastAsia"/>
          <w:color w:val="auto"/>
          <w:sz w:val="28"/>
          <w:szCs w:val="28"/>
        </w:rPr>
        <w:t>银行在优质客户名单动态监控执行中如发现以下任</w:t>
      </w:r>
      <w:proofErr w:type="gramStart"/>
      <w:r>
        <w:rPr>
          <w:rFonts w:ascii="仿宋" w:eastAsia="仿宋" w:hAnsi="仿宋" w:cs="仿宋" w:hint="eastAsia"/>
          <w:color w:val="auto"/>
          <w:sz w:val="28"/>
          <w:szCs w:val="28"/>
        </w:rPr>
        <w:t>一</w:t>
      </w:r>
      <w:proofErr w:type="gramEnd"/>
      <w:r>
        <w:rPr>
          <w:rFonts w:ascii="仿宋" w:eastAsia="仿宋" w:hAnsi="仿宋" w:cs="仿宋" w:hint="eastAsia"/>
          <w:color w:val="auto"/>
          <w:sz w:val="28"/>
          <w:szCs w:val="28"/>
        </w:rPr>
        <w:t>情况，应立即将该客户移出优质客户名单：</w:t>
      </w:r>
    </w:p>
    <w:p w14:paraId="3C134437"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（1）新列入人民银行出口货物贸易人民币结算企业重点监管名单的企业；</w:t>
      </w:r>
    </w:p>
    <w:p w14:paraId="4A2CD616"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（2）办理跨境货物贸易结算的企业,其货物贸易分类等级调降为B或C类;</w:t>
      </w:r>
    </w:p>
    <w:p w14:paraId="351DD73F"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（3）存在交易背景虚假、利用自由贸易账户转移资金等行为；</w:t>
      </w:r>
    </w:p>
    <w:p w14:paraId="54D749C7"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（4）同一客户自其纳入优质客户名单一年内累计发生2次（不含）以上收付款指令的资金交易性质与真实交易背景不符的；</w:t>
      </w:r>
    </w:p>
    <w:p w14:paraId="6236327B"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（5）受到监管处罚通报，或存在其他异常情况或违规行为；</w:t>
      </w:r>
    </w:p>
    <w:p w14:paraId="543B74B2"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（6）企业及股东方被纳入联合国、OFAC、欧盟等组织及我国制裁名单，违反有关“三反”监管要求、国际惯例和各行相关规定;</w:t>
      </w:r>
    </w:p>
    <w:p w14:paraId="07F8AC9B"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lastRenderedPageBreak/>
        <w:t>（7）银行认为需要移出的其他情况。</w:t>
      </w:r>
    </w:p>
    <w:p w14:paraId="6A0264E9" w14:textId="77777777" w:rsidR="00F40EBF" w:rsidRDefault="00F40EBF" w:rsidP="00F40EBF">
      <w:pPr>
        <w:pStyle w:val="Default"/>
        <w:spacing w:line="360" w:lineRule="auto"/>
        <w:ind w:firstLineChars="200" w:firstLine="562"/>
        <w:jc w:val="both"/>
        <w:rPr>
          <w:rFonts w:ascii="仿宋" w:eastAsia="仿宋" w:hAnsi="仿宋" w:cs="仿宋" w:hint="eastAsia"/>
          <w:b/>
          <w:bCs/>
          <w:color w:val="auto"/>
          <w:sz w:val="28"/>
          <w:szCs w:val="28"/>
        </w:rPr>
      </w:pPr>
      <w:r>
        <w:rPr>
          <w:rFonts w:ascii="仿宋" w:eastAsia="仿宋" w:hAnsi="仿宋" w:cs="仿宋" w:hint="eastAsia"/>
          <w:b/>
          <w:bCs/>
          <w:color w:val="auto"/>
          <w:sz w:val="28"/>
          <w:szCs w:val="28"/>
        </w:rPr>
        <w:t>三、定期报告</w:t>
      </w:r>
    </w:p>
    <w:p w14:paraId="78E63E18"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1、优质客户名单准入。银行确定名单需填写“FT账户优质企业调整报备模板”，于5个工作日内自律机制邮箱上报自律机制</w:t>
      </w:r>
      <w:r>
        <w:rPr>
          <w:rFonts w:ascii="仿宋" w:eastAsia="仿宋" w:hAnsi="仿宋" w:hint="eastAsia"/>
          <w:sz w:val="28"/>
          <w:szCs w:val="28"/>
        </w:rPr>
        <w:t>，</w:t>
      </w:r>
      <w:r>
        <w:rPr>
          <w:rFonts w:ascii="仿宋" w:eastAsia="仿宋" w:hAnsi="仿宋" w:cs="仿宋" w:hint="eastAsia"/>
          <w:color w:val="auto"/>
          <w:sz w:val="28"/>
          <w:szCs w:val="28"/>
        </w:rPr>
        <w:t>由自律机制报告中国人民银行天津分行跨境人民币业务办公室，并统一向天津市内商业银行通报。</w:t>
      </w:r>
    </w:p>
    <w:p w14:paraId="33E91DCC"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2、优质客户名单调整。发生移出优质客户名单情况的，银行应按以下流程办理：</w:t>
      </w:r>
    </w:p>
    <w:p w14:paraId="1128F759"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1、银行应自企业移出优质客户名单之日起5个工作日内，填写“FT账户优质企业调整报备模板”，及时将移出企业信息上报自律机制，由自律机制报告中国人民银行天津分行跨境人民币业务办公室，并统一向天津市内商业银行通报。通报名单内企业自通报之日起一年内不得适用简化流程在各行办理相关业务，</w:t>
      </w:r>
      <w:proofErr w:type="gramStart"/>
      <w:r>
        <w:rPr>
          <w:rFonts w:ascii="仿宋" w:eastAsia="仿宋" w:hAnsi="仿宋" w:cs="仿宋" w:hint="eastAsia"/>
          <w:color w:val="auto"/>
          <w:sz w:val="28"/>
          <w:szCs w:val="28"/>
        </w:rPr>
        <w:t>且参加</w:t>
      </w:r>
      <w:proofErr w:type="gramEnd"/>
      <w:r>
        <w:rPr>
          <w:rFonts w:ascii="仿宋" w:eastAsia="仿宋" w:hAnsi="仿宋" w:cs="仿宋" w:hint="eastAsia"/>
          <w:color w:val="auto"/>
          <w:sz w:val="28"/>
          <w:szCs w:val="28"/>
        </w:rPr>
        <w:t>本操作指引的银行不得将其纳入优质客户名单。各银行对通报的企业办理跨“一线”及“二线”结算时，应按照有关标准流程，事先逐笔逐单严格审核有关交易背景佐证材料无误后，方可办理结算。</w:t>
      </w:r>
    </w:p>
    <w:p w14:paraId="6BA5DBCF"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2、针对移出企业再次申请纳入优质客户名单的，银行应给予其一年考察期，自企业被自律机制通报为移出优质客户名单之日起算。银行可根据优质客户准入基本条件，结合该客户考察期内业务办理情况，在一年考察期满后，如该客户未出现“优质客户名单调整”中列明的情况，可酌情再次纳入优质客户名单。同时，银行确定重新纳入的优质客户名单，填写“FT账户优质企业调整报备模板”，于5个工</w:t>
      </w:r>
      <w:r>
        <w:rPr>
          <w:rFonts w:ascii="仿宋" w:eastAsia="仿宋" w:hAnsi="仿宋" w:cs="仿宋" w:hint="eastAsia"/>
          <w:color w:val="auto"/>
          <w:sz w:val="28"/>
          <w:szCs w:val="28"/>
        </w:rPr>
        <w:lastRenderedPageBreak/>
        <w:t>作日内通过自律机制邮箱上报自律机制</w:t>
      </w:r>
      <w:r>
        <w:rPr>
          <w:rFonts w:ascii="仿宋" w:eastAsia="仿宋" w:hAnsi="仿宋" w:hint="eastAsia"/>
          <w:sz w:val="28"/>
          <w:szCs w:val="28"/>
        </w:rPr>
        <w:t>，</w:t>
      </w:r>
      <w:r>
        <w:rPr>
          <w:rFonts w:ascii="仿宋" w:eastAsia="仿宋" w:hAnsi="仿宋" w:cs="仿宋" w:hint="eastAsia"/>
          <w:color w:val="auto"/>
          <w:sz w:val="28"/>
          <w:szCs w:val="28"/>
        </w:rPr>
        <w:t>由自律机制报告中国人民银行天津分行跨境人民币业务办公室，并统一向天津市内商业银行通报。</w:t>
      </w:r>
    </w:p>
    <w:p w14:paraId="54EE832B" w14:textId="77777777" w:rsidR="00F40EBF" w:rsidRDefault="00F40EBF" w:rsidP="00F40EBF">
      <w:pPr>
        <w:pStyle w:val="Default"/>
        <w:spacing w:line="360" w:lineRule="auto"/>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3、累计两次被移出优质客户名单的客户，参加本操作指引的银行不得将其再次纳入优质客户名单。</w:t>
      </w:r>
    </w:p>
    <w:p w14:paraId="53134EAF" w14:textId="77777777" w:rsidR="00EA4038" w:rsidRPr="00F40EBF" w:rsidRDefault="00EA4038"/>
    <w:sectPr w:rsidR="00EA4038" w:rsidRPr="00F40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BF"/>
    <w:rsid w:val="0095581D"/>
    <w:rsid w:val="00EA4038"/>
    <w:rsid w:val="00F4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A44D"/>
  <w15:chartTrackingRefBased/>
  <w15:docId w15:val="{475C501F-C179-4003-ABC5-FBE51BEB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F40EBF"/>
    <w:pPr>
      <w:widowControl w:val="0"/>
      <w:autoSpaceDE w:val="0"/>
      <w:autoSpaceDN w:val="0"/>
      <w:adjustRightInd w:val="0"/>
    </w:pPr>
    <w:rPr>
      <w:rFonts w:ascii="华文隶书" w:eastAsia="宋体" w:hAnsi="华文隶书" w:cs="华文隶书"/>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1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1311915609@qq.com</dc:creator>
  <cp:keywords/>
  <dc:description/>
  <cp:lastModifiedBy>1311915609@qq.com</cp:lastModifiedBy>
  <cp:revision>1</cp:revision>
  <dcterms:created xsi:type="dcterms:W3CDTF">2020-06-17T01:54:00Z</dcterms:created>
  <dcterms:modified xsi:type="dcterms:W3CDTF">2020-06-17T01:54:00Z</dcterms:modified>
</cp:coreProperties>
</file>